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14" w:rsidRPr="00DD4214" w:rsidRDefault="00DD4214" w:rsidP="00DD4214">
      <w:pPr>
        <w:jc w:val="both"/>
        <w:rPr>
          <w:rFonts w:ascii="Arial" w:hAnsi="Arial"/>
          <w:b/>
          <w:sz w:val="18"/>
          <w:szCs w:val="18"/>
        </w:rPr>
      </w:pPr>
      <w:bookmarkStart w:id="0" w:name="_GoBack"/>
      <w:bookmarkEnd w:id="0"/>
      <w:r>
        <w:rPr>
          <w:rFonts w:ascii="Arial" w:hAnsi="Arial" w:cs="Arial"/>
          <w:b/>
          <w:sz w:val="22"/>
          <w:szCs w:val="22"/>
        </w:rPr>
        <w:t>Formation diplômante technique en Afrique en domaine pétrolier.</w:t>
      </w:r>
      <w:r>
        <w:rPr>
          <w:rFonts w:ascii="Arial" w:hAnsi="Arial" w:cs="Arial"/>
          <w:sz w:val="22"/>
          <w:szCs w:val="22"/>
        </w:rPr>
        <w:t xml:space="preserve"> </w:t>
      </w:r>
      <w:hyperlink r:id="rId5" w:history="1">
        <w:r w:rsidRPr="00DD4214">
          <w:rPr>
            <w:rStyle w:val="Lienhypertexte"/>
            <w:rFonts w:ascii="Arial" w:hAnsi="Arial"/>
            <w:b/>
            <w:sz w:val="16"/>
            <w:szCs w:val="16"/>
          </w:rPr>
          <w:t>jean-louis.rick@orange.fr</w:t>
        </w:r>
      </w:hyperlink>
      <w:r w:rsidRPr="00DD4214">
        <w:rPr>
          <w:rFonts w:ascii="Arial" w:hAnsi="Arial"/>
          <w:b/>
          <w:sz w:val="18"/>
          <w:szCs w:val="18"/>
        </w:rPr>
        <w:t xml:space="preserve"> </w:t>
      </w:r>
    </w:p>
    <w:p w:rsidR="00DD4214" w:rsidRDefault="00DD4214" w:rsidP="00DD4214">
      <w:pPr>
        <w:ind w:left="708" w:hanging="708"/>
        <w:jc w:val="both"/>
        <w:rPr>
          <w:rFonts w:ascii="Arial" w:hAnsi="Arial" w:cs="Arial"/>
          <w:i/>
        </w:rPr>
      </w:pPr>
    </w:p>
    <w:p w:rsidR="00DD4214" w:rsidRDefault="00DD4214" w:rsidP="00DD4214">
      <w:pPr>
        <w:jc w:val="both"/>
        <w:rPr>
          <w:rFonts w:ascii="Arial" w:hAnsi="Arial" w:cs="Arial"/>
          <w:sz w:val="22"/>
          <w:szCs w:val="22"/>
        </w:rPr>
      </w:pPr>
      <w:r>
        <w:rPr>
          <w:rFonts w:ascii="Arial" w:hAnsi="Arial" w:cs="Arial"/>
          <w:sz w:val="22"/>
          <w:szCs w:val="22"/>
        </w:rPr>
        <w:t>Quelques constats et propositions à partir d’une expérience d’interventions pour des entreprises pétrolières et par pétrolières (majors et Sociétés nationales)  dans les pays du Golfe de Guinée durant plus de 30 ans dans les RH, en particulier dans les domaines de l’évaluation et de la formation professionnelle technique :</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L’évolution de la formation dans le domaine pétrolier dans le Golfe de Guinée, mais pas seulement (mines, agro alimentaire, pétrochimie, etc.) est positive : il y a 35 ans, quand un pays voulait construire puis démarrer des installations pétrolières (on shore, par exemple une raffinerie ou off shore, plate forme pétrolière), l’ensemble du personnel, du directeur jusqu’à l’Opérateur venait de l’étranger. Ce qui n’est plus le cas aujourd’hui.</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Prise de conscience progressive des pays du Golfe de Guinée de la nécessité d’investir dans la formation technique pour substituer des experts occidentaux par des Cadres locaux.</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Trois décennies de formation des techniciens en interne par les sociétés pétrolières, faute d’existence de formation académique réalisée par des organismes d’état (iso Ministères de l’éducation et de Formation professionnelles) ont permis une lente mais réelle progression des niveaux de formation du personnel technique de base.</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Existence aujourd’hui de personnel technique formé spécifiquement sur les installations pétrolières (exploitation et maintenance) mais en nombre insuffisant.</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Concurrence entre les sociétés pétrolières entre elles pour attirer les « meilleurs » : ce qui entraine une mobilité importante et une très forte inflation sur les salaires</w:t>
      </w:r>
    </w:p>
    <w:p w:rsidR="00DD4214" w:rsidRDefault="00DD4214" w:rsidP="00DD4214">
      <w:pPr>
        <w:jc w:val="both"/>
        <w:rPr>
          <w:rFonts w:ascii="Arial" w:hAnsi="Arial" w:cs="Arial"/>
          <w:sz w:val="22"/>
          <w:szCs w:val="22"/>
        </w:rPr>
      </w:pPr>
    </w:p>
    <w:p w:rsidR="00DD4214" w:rsidRDefault="00DD4214" w:rsidP="00DD4214">
      <w:pPr>
        <w:numPr>
          <w:ilvl w:val="0"/>
          <w:numId w:val="1"/>
        </w:numPr>
        <w:tabs>
          <w:tab w:val="num" w:pos="360"/>
        </w:tabs>
        <w:overflowPunct/>
        <w:autoSpaceDE/>
        <w:adjustRightInd/>
        <w:ind w:left="360"/>
        <w:jc w:val="both"/>
        <w:rPr>
          <w:rFonts w:ascii="Arial" w:hAnsi="Arial" w:cs="Arial"/>
          <w:sz w:val="22"/>
          <w:szCs w:val="22"/>
        </w:rPr>
      </w:pPr>
      <w:r>
        <w:rPr>
          <w:rFonts w:ascii="Arial" w:hAnsi="Arial" w:cs="Arial"/>
          <w:sz w:val="22"/>
          <w:szCs w:val="22"/>
        </w:rPr>
        <w:t xml:space="preserve">Lente progression de l’insertion de jeunes ingénieurs nationaux formés à l’étranger (USA, France, UK ou Portugal) pour remplacer les expatriés à des postes de responsabilité </w:t>
      </w:r>
    </w:p>
    <w:p w:rsidR="00DD4214" w:rsidRDefault="00DD4214" w:rsidP="00DD4214">
      <w:pPr>
        <w:jc w:val="both"/>
        <w:rPr>
          <w:rFonts w:ascii="Arial" w:hAnsi="Arial" w:cs="Arial"/>
          <w:sz w:val="22"/>
          <w:szCs w:val="22"/>
        </w:rPr>
      </w:pPr>
    </w:p>
    <w:p w:rsidR="00DD4214" w:rsidRDefault="00DD4214" w:rsidP="00DD4214">
      <w:pPr>
        <w:jc w:val="both"/>
        <w:rPr>
          <w:rFonts w:ascii="Arial" w:hAnsi="Arial" w:cs="Arial"/>
          <w:sz w:val="22"/>
          <w:szCs w:val="22"/>
        </w:rPr>
      </w:pPr>
      <w:r>
        <w:rPr>
          <w:rFonts w:ascii="Arial" w:hAnsi="Arial" w:cs="Arial"/>
          <w:sz w:val="22"/>
          <w:szCs w:val="22"/>
        </w:rPr>
        <w:t>Aujourd’hui, au niveau des opérateurs et techniciens, il existe donc une population de techniciens de base formés principalement « sur le tas », certes en nombre insuffisant, mais qui remplissent leur fonctions quotidiennes correctement mais qui ont néanmoins des difficultés à progresser faute de connaissances académiques structurées; à l’autre extrémité de la hiérarchie, existence de cadres techniques (ingénieurs) bien formés mais présentant une expérience pratique limitée.</w:t>
      </w:r>
    </w:p>
    <w:p w:rsidR="00DD4214" w:rsidRDefault="00DD4214" w:rsidP="00DD4214">
      <w:pPr>
        <w:rPr>
          <w:rFonts w:ascii="Arial" w:hAnsi="Arial" w:cs="Arial"/>
          <w:sz w:val="22"/>
          <w:szCs w:val="22"/>
        </w:rPr>
      </w:pPr>
    </w:p>
    <w:p w:rsidR="00DD4214" w:rsidRDefault="00DD4214" w:rsidP="00DD4214">
      <w:pPr>
        <w:rPr>
          <w:rFonts w:ascii="Arial" w:hAnsi="Arial" w:cs="Arial"/>
          <w:sz w:val="22"/>
          <w:szCs w:val="22"/>
        </w:rPr>
      </w:pPr>
      <w:r>
        <w:rPr>
          <w:rFonts w:ascii="Arial" w:hAnsi="Arial" w:cs="Arial"/>
          <w:sz w:val="22"/>
          <w:szCs w:val="22"/>
        </w:rPr>
        <w:t>Entre ces deux extrémités, il manque cruellement de techniciens « supérieurs » (iso BTS et DUT, équivalent à bac+2 ou 3) en nombre suffisant occupant des fonctions de Techniciens et Superviseurs en spécialité Production et Maintenance (mécanique, électricité, Instrumentation, HVAC…)</w:t>
      </w:r>
    </w:p>
    <w:p w:rsidR="00DD4214" w:rsidRDefault="00DD4214" w:rsidP="00DD4214">
      <w:pPr>
        <w:jc w:val="both"/>
        <w:rPr>
          <w:rFonts w:ascii="Arial" w:hAnsi="Arial" w:cs="Arial"/>
          <w:sz w:val="22"/>
          <w:szCs w:val="22"/>
        </w:rPr>
      </w:pPr>
    </w:p>
    <w:p w:rsidR="00DD4214" w:rsidRDefault="00DD4214" w:rsidP="00DD4214">
      <w:pPr>
        <w:jc w:val="both"/>
        <w:rPr>
          <w:rFonts w:ascii="Arial" w:hAnsi="Arial" w:cs="Arial"/>
          <w:sz w:val="22"/>
          <w:szCs w:val="22"/>
        </w:rPr>
      </w:pPr>
      <w:r>
        <w:rPr>
          <w:rFonts w:ascii="Arial" w:hAnsi="Arial" w:cs="Arial"/>
          <w:sz w:val="22"/>
          <w:szCs w:val="22"/>
        </w:rPr>
        <w:t>Le développement de proposition, puis d’ouverture de centre de formation de ce type, initié depuis quelques années par des universités privées (ICAM au Congo, puis au Cameroun, Université Portugaise technique en Angola, par exemple), semble être un modèle adéquat pour pallier à ces manques et faire progresser le niveau général technique d’une population de techniciens dont l’industrie pétrolière a et aura besoin pour se développer dans les décennies à-venir.</w:t>
      </w:r>
    </w:p>
    <w:p w:rsidR="00DD4214" w:rsidRDefault="00DD4214" w:rsidP="00DD4214">
      <w:pPr>
        <w:jc w:val="both"/>
        <w:rPr>
          <w:rFonts w:ascii="Arial" w:hAnsi="Arial" w:cs="Arial"/>
          <w:sz w:val="22"/>
          <w:szCs w:val="22"/>
        </w:rPr>
      </w:pPr>
    </w:p>
    <w:p w:rsidR="00DD4214" w:rsidRDefault="00DD4214" w:rsidP="00DD4214">
      <w:pPr>
        <w:jc w:val="both"/>
        <w:rPr>
          <w:rFonts w:ascii="Arial" w:hAnsi="Arial" w:cs="Arial"/>
          <w:sz w:val="22"/>
          <w:szCs w:val="22"/>
        </w:rPr>
      </w:pPr>
    </w:p>
    <w:p w:rsidR="00DD4214" w:rsidRDefault="00DD4214" w:rsidP="00DD4214">
      <w:pPr>
        <w:jc w:val="both"/>
        <w:rPr>
          <w:rFonts w:ascii="Arial" w:hAnsi="Arial" w:cs="Arial"/>
          <w:sz w:val="22"/>
          <w:szCs w:val="22"/>
        </w:rPr>
      </w:pPr>
      <w:r>
        <w:rPr>
          <w:rFonts w:ascii="Arial" w:hAnsi="Arial" w:cs="Arial"/>
          <w:sz w:val="22"/>
          <w:szCs w:val="22"/>
        </w:rPr>
        <w:t>Pour mémoire, et en complément des propositions et actions en cours (voir bulletins de l’ACP 173, 177, 180 en particulier), voici quelques éléments qu’il me semblerait intéressant d’étudier, d’approfondir et prendre en compte pour atteindre cet objectif :</w:t>
      </w:r>
    </w:p>
    <w:p w:rsidR="00DD4214" w:rsidRDefault="00DD4214" w:rsidP="00DD4214">
      <w:pPr>
        <w:jc w:val="both"/>
        <w:rPr>
          <w:rFonts w:ascii="Arial" w:hAnsi="Arial" w:cs="Arial"/>
          <w:sz w:val="22"/>
          <w:szCs w:val="22"/>
        </w:rPr>
      </w:pPr>
    </w:p>
    <w:p w:rsidR="00DD4214" w:rsidRDefault="00DD4214" w:rsidP="00DD4214">
      <w:pPr>
        <w:numPr>
          <w:ilvl w:val="0"/>
          <w:numId w:val="2"/>
        </w:numPr>
        <w:overflowPunct/>
        <w:autoSpaceDE/>
        <w:adjustRightInd/>
        <w:jc w:val="both"/>
        <w:rPr>
          <w:rFonts w:ascii="Arial" w:hAnsi="Arial" w:cs="Arial"/>
          <w:sz w:val="22"/>
          <w:szCs w:val="22"/>
        </w:rPr>
      </w:pPr>
      <w:r>
        <w:rPr>
          <w:rFonts w:ascii="Arial" w:hAnsi="Arial" w:cs="Arial"/>
          <w:sz w:val="22"/>
          <w:szCs w:val="22"/>
        </w:rPr>
        <w:lastRenderedPageBreak/>
        <w:t xml:space="preserve">Poursuivre et compléter les analyses des besoins des sociétés pétrolières et para pétrolières, à moyen et long terme (voir l’exemple du </w:t>
      </w:r>
      <w:proofErr w:type="spellStart"/>
      <w:r>
        <w:rPr>
          <w:rFonts w:ascii="Arial" w:hAnsi="Arial" w:cs="Arial"/>
          <w:sz w:val="22"/>
          <w:szCs w:val="22"/>
        </w:rPr>
        <w:t>mapping</w:t>
      </w:r>
      <w:proofErr w:type="spellEnd"/>
      <w:r>
        <w:rPr>
          <w:rFonts w:ascii="Arial" w:hAnsi="Arial" w:cs="Arial"/>
          <w:sz w:val="22"/>
          <w:szCs w:val="22"/>
        </w:rPr>
        <w:t xml:space="preserve"> réalisé en 2002 pour le MINPET en Angola, et une étude réalisée pour la DGH de la république du Congo en 2000, par exemple)</w:t>
      </w:r>
    </w:p>
    <w:p w:rsidR="00DD4214" w:rsidRDefault="00DD4214" w:rsidP="00DD4214">
      <w:pPr>
        <w:jc w:val="both"/>
        <w:rPr>
          <w:rFonts w:ascii="Arial" w:hAnsi="Arial" w:cs="Arial"/>
          <w:sz w:val="22"/>
          <w:szCs w:val="22"/>
        </w:rPr>
      </w:pPr>
    </w:p>
    <w:p w:rsidR="00DD4214" w:rsidRDefault="00DD4214" w:rsidP="00DD4214">
      <w:pPr>
        <w:numPr>
          <w:ilvl w:val="0"/>
          <w:numId w:val="2"/>
        </w:numPr>
        <w:overflowPunct/>
        <w:autoSpaceDE/>
        <w:adjustRightInd/>
        <w:jc w:val="both"/>
        <w:rPr>
          <w:rFonts w:ascii="Arial" w:hAnsi="Arial" w:cs="Arial"/>
          <w:sz w:val="22"/>
          <w:szCs w:val="22"/>
        </w:rPr>
      </w:pPr>
      <w:r>
        <w:rPr>
          <w:rFonts w:ascii="Arial" w:hAnsi="Arial" w:cs="Arial"/>
          <w:sz w:val="22"/>
          <w:szCs w:val="22"/>
        </w:rPr>
        <w:t>S’assurer de la participation des organismes d’Etat, les convaincre et leur proposer des plans de développement de ces structures de formation (action en cours en Angola).</w:t>
      </w:r>
    </w:p>
    <w:p w:rsidR="00DD4214" w:rsidRDefault="00DD4214" w:rsidP="00DD4214">
      <w:pPr>
        <w:jc w:val="both"/>
        <w:rPr>
          <w:rFonts w:ascii="Arial" w:hAnsi="Arial" w:cs="Arial"/>
          <w:sz w:val="22"/>
          <w:szCs w:val="22"/>
        </w:rPr>
      </w:pPr>
    </w:p>
    <w:p w:rsidR="00DD4214" w:rsidRDefault="00DD4214" w:rsidP="00DD4214">
      <w:pPr>
        <w:numPr>
          <w:ilvl w:val="0"/>
          <w:numId w:val="2"/>
        </w:numPr>
        <w:overflowPunct/>
        <w:autoSpaceDE/>
        <w:adjustRightInd/>
        <w:jc w:val="both"/>
        <w:rPr>
          <w:rFonts w:ascii="Arial" w:hAnsi="Arial" w:cs="Arial"/>
          <w:sz w:val="22"/>
          <w:szCs w:val="22"/>
        </w:rPr>
      </w:pPr>
      <w:r>
        <w:rPr>
          <w:rFonts w:ascii="Arial" w:hAnsi="Arial" w:cs="Arial"/>
          <w:sz w:val="22"/>
          <w:szCs w:val="22"/>
        </w:rPr>
        <w:t>Evaluer et sélectionner les futurs techniciens à l’entrée de ces organismes de formation académiques : examen approfondi du niveau initial des étudiants, tant en terme de potentiel d’évolution, de connaissances académiques et techniques que de motivation…</w:t>
      </w:r>
    </w:p>
    <w:p w:rsidR="00DD4214" w:rsidRDefault="00DD4214" w:rsidP="00DD4214">
      <w:pPr>
        <w:ind w:left="360"/>
        <w:jc w:val="both"/>
        <w:rPr>
          <w:rFonts w:ascii="Arial" w:hAnsi="Arial" w:cs="Arial"/>
          <w:sz w:val="22"/>
          <w:szCs w:val="22"/>
        </w:rPr>
      </w:pPr>
    </w:p>
    <w:p w:rsidR="00477A6B" w:rsidRDefault="00DD4214" w:rsidP="00DD4214">
      <w:r>
        <w:rPr>
          <w:rFonts w:ascii="Arial" w:hAnsi="Arial" w:cs="Arial"/>
          <w:sz w:val="22"/>
          <w:szCs w:val="22"/>
        </w:rPr>
        <w:t>Indépendamment des professeurs titulaires provenant de l’Université, trouver, mobiliser et motiver des formateurs locaux (ingénieurs avec expérience professionnelle confirmée) pour intégrer ces organismes au cours d’une partie de leur carrière. Ces futurs formateurs reçoivent une sérieuse formation de formateur (pédagogie) et/ou en ingénierie pédagogique (management de la formation)</w:t>
      </w:r>
    </w:p>
    <w:sectPr w:rsidR="00477A6B" w:rsidSect="00477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466D4"/>
    <w:multiLevelType w:val="hybridMultilevel"/>
    <w:tmpl w:val="56546BE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C6530B3"/>
    <w:multiLevelType w:val="hybridMultilevel"/>
    <w:tmpl w:val="EA36D416"/>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14"/>
    <w:rsid w:val="00477A6B"/>
    <w:rsid w:val="005474FF"/>
    <w:rsid w:val="007D6E90"/>
    <w:rsid w:val="008A47B6"/>
    <w:rsid w:val="00DD4214"/>
    <w:rsid w:val="00DE4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05A39-E8F2-49F3-B1F9-41C9AC68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14"/>
    <w:pPr>
      <w:overflowPunct w:val="0"/>
      <w:autoSpaceDE w:val="0"/>
      <w:autoSpaceDN w:val="0"/>
      <w:adjustRightInd w:val="0"/>
      <w:spacing w:after="0" w:line="240" w:lineRule="auto"/>
    </w:pPr>
    <w:rPr>
      <w:rFonts w:ascii="Times New Roman" w:eastAsia="Times New Roman" w:hAnsi="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DD4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louis.rick@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3812</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dc:creator>
  <cp:lastModifiedBy>Jean louis Gaillard</cp:lastModifiedBy>
  <cp:revision>2</cp:revision>
  <dcterms:created xsi:type="dcterms:W3CDTF">2015-07-30T00:16:00Z</dcterms:created>
  <dcterms:modified xsi:type="dcterms:W3CDTF">2015-07-30T00:16:00Z</dcterms:modified>
</cp:coreProperties>
</file>